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hint="eastAsia"/>
          <w:rtl w:val="off"/>
        </w:rPr>
      </w:pPr>
      <w:bookmarkStart w:id="1" w:name="_top"/>
      <w:bookmarkEnd w:id="1"/>
    </w:p>
    <w:tbl>
      <w:tblPr>
        <w:tblStyle w:val="a3"/>
        <w:tblW w:w="15316" w:type="dxa"/>
        <w:tblLook w:val="04A0" w:firstRow="1" w:lastRow="0" w:firstColumn="1" w:lastColumn="0" w:noHBand="0" w:noVBand="1"/>
      </w:tblPr>
      <w:tblGrid>
        <w:gridCol w:w="7658"/>
        <w:gridCol w:w="7658"/>
      </w:tblGrid>
      <w:tr>
        <w:trPr>
          <w:trHeight w:val="274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 w:val="0"/>
                <w:sz w:val="22"/>
              </w:rPr>
              <w:t>English</w:t>
            </w:r>
          </w:p>
        </w:tc>
      </w:tr>
      <w:tr>
        <w:trPr>
          <w:trHeight w:val="658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 w:val="0"/>
                <w:sz w:val="22"/>
              </w:rPr>
              <w:t>Until May 5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7658" w:type="dxa"/>
          </w:tcPr>
          <w:p>
            <w:pPr>
              <w:pStyle w:val="0"/>
              <w:widowControl w:val="off"/>
              <w:jc w:val="center"/>
              <w:spacing w:line="432" w:lineRule="auto"/>
              <w:rPr>
                <w:lang w:eastAsia="ko-KR"/>
                <w:rFonts w:ascii="맑은 고딕" w:eastAsia="맑은 고딕" w:hAnsi="맑은 고딕" w:hint="eastAsia"/>
                <w:b w:val="0"/>
                <w:sz w:val="22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 xml:space="preserve">Continue to push for </w:t>
            </w:r>
            <w:r>
              <w:rPr>
                <w:rFonts w:ascii="맑은 고딕" w:eastAsia="맑은 고딕" w:hAnsi="맑은 고딕"/>
                <w:b w:val="0"/>
                <w:sz w:val="22"/>
              </w:rPr>
              <w:t>social distanc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>ing</w:t>
            </w:r>
          </w:p>
          <w:p>
            <w:pPr>
              <w:pStyle w:val="0"/>
              <w:widowControl w:val="off"/>
              <w:jc w:val="center"/>
              <w:spacing w:line="432" w:lineRule="auto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>i</w:t>
            </w:r>
            <w:r>
              <w:rPr>
                <w:rFonts w:ascii="맑은 고딕" w:eastAsia="맑은 고딕" w:hAnsi="맑은 고딕"/>
                <w:b w:val="0"/>
                <w:sz w:val="22"/>
              </w:rPr>
              <w:t>n a somewhat relax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>ed</w:t>
            </w:r>
            <w:r>
              <w:rPr>
                <w:rFonts w:ascii="맑은 고딕" w:eastAsia="맑은 고딕" w:hAnsi="맑은 고딕"/>
                <w:b w:val="0"/>
                <w:sz w:val="22"/>
              </w:rPr>
              <w:t xml:space="preserve"> form than before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>.</w:t>
            </w:r>
          </w:p>
        </w:tc>
      </w:tr>
      <w:tr>
        <w:trPr>
          <w:trHeight w:val="658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분산시설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 w:val="0"/>
                <w:sz w:val="22"/>
              </w:rPr>
              <w:t>Outdoor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/>
                <w:b w:val="0"/>
                <w:sz w:val="22"/>
              </w:rPr>
              <w:t>-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 xml:space="preserve"> Disperse</w:t>
            </w:r>
            <w:r>
              <w:rPr>
                <w:rFonts w:ascii="맑은 고딕" w:eastAsia="맑은 고딕" w:hAnsi="맑은 고딕"/>
                <w:b w:val="0"/>
                <w:sz w:val="22"/>
              </w:rPr>
              <w:t xml:space="preserve"> facilit</w:t>
            </w:r>
            <w:r>
              <w:rPr>
                <w:lang w:eastAsia="ko-KR"/>
                <w:rFonts w:ascii="맑은 고딕" w:eastAsia="맑은 고딕" w:hAnsi="맑은 고딕"/>
                <w:b w:val="0"/>
                <w:sz w:val="22"/>
                <w:rtl w:val="off"/>
              </w:rPr>
              <w:t>ies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7658" w:type="dxa"/>
          </w:tcPr>
          <w:p>
            <w:pPr>
              <w:pStyle w:val="0"/>
              <w:widowControl w:val="off"/>
              <w:jc w:val="center"/>
              <w:spacing w:line="240" w:lineRule="auto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sz w:val="24"/>
              </w:rPr>
              <w:t xml:space="preserve">Resume operation </w:t>
            </w:r>
            <w:r>
              <w:rPr>
                <w:lang w:eastAsia="ko-KR"/>
                <w:rFonts w:ascii="맑은 고딕" w:eastAsia="맑은 고딕" w:hAnsi="맑은 고딕"/>
                <w:sz w:val="24"/>
                <w:rtl w:val="off"/>
              </w:rPr>
              <w:t>in stages</w:t>
            </w:r>
            <w:r>
              <w:rPr>
                <w:rFonts w:ascii="맑은 고딕" w:eastAsia="맑은 고딕" w:hAnsi="맑은 고딕"/>
                <w:sz w:val="24"/>
              </w:rPr>
              <w:t xml:space="preserve"> on the premise of preparing </w:t>
            </w:r>
            <w:r>
              <w:rPr>
                <w:lang w:eastAsia="ko-KR"/>
                <w:rFonts w:ascii="맑은 고딕" w:eastAsia="맑은 고딕" w:hAnsi="맑은 고딕"/>
                <w:sz w:val="24"/>
                <w:rtl w:val="off"/>
              </w:rPr>
              <w:t>disease control guidelines</w:t>
            </w:r>
            <w:r>
              <w:rPr>
                <w:rFonts w:ascii="맑은 고딕" w:eastAsia="맑은 고딕" w:hAnsi="맑은 고딕"/>
                <w:sz w:val="24"/>
              </w:rPr>
              <w:t xml:space="preserve"> such as national parks and </w:t>
            </w:r>
            <w:r>
              <w:rPr>
                <w:lang w:eastAsia="ko-KR"/>
                <w:rFonts w:ascii="맑은 고딕" w:eastAsia="맑은 고딕" w:hAnsi="맑은 고딕"/>
                <w:sz w:val="24"/>
                <w:rtl w:val="off"/>
              </w:rPr>
              <w:t>arboretums, etc.</w:t>
            </w:r>
            <w:r>
              <w:rPr>
                <w:rFonts w:ascii="맑은 고딕" w:eastAsia="맑은 고딕" w:hAnsi="맑은 고딕"/>
                <w:sz w:val="24"/>
              </w:rPr>
              <w:t xml:space="preserve"> among public facilities</w:t>
            </w:r>
          </w:p>
        </w:tc>
      </w:tr>
      <w:tr>
        <w:trPr>
          <w:trHeight w:val="658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 w:val="0"/>
                <w:bCs w:val="0"/>
                <w:sz w:val="22"/>
              </w:rPr>
              <w:t>Outdoor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2"/>
                <w:rtl w:val="off"/>
              </w:rPr>
              <w:t xml:space="preserve"> </w:t>
            </w:r>
            <w:r>
              <w:rPr>
                <w:rFonts w:ascii="맑은 고딕" w:eastAsia="맑은 고딕" w:hAnsi="맑은 고딕"/>
                <w:b w:val="0"/>
                <w:bCs w:val="0"/>
                <w:sz w:val="22"/>
              </w:rPr>
              <w:t>-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2"/>
                <w:rtl w:val="off"/>
              </w:rPr>
              <w:t xml:space="preserve"> D</w:t>
            </w:r>
            <w:r>
              <w:rPr>
                <w:rFonts w:ascii="맑은 고딕" w:eastAsia="맑은 고딕" w:hAnsi="맑은 고딕"/>
                <w:b w:val="0"/>
                <w:bCs w:val="0"/>
                <w:sz w:val="22"/>
              </w:rPr>
              <w:t>ense facilities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7658" w:type="dxa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lang w:eastAsia="ko-KR"/>
                <w:rFonts w:ascii="맑은 고딕" w:eastAsia="맑은 고딕" w:hAnsi="맑은 고딕" w:hint="eastAsia"/>
                <w:b w:val="0"/>
                <w:bCs w:val="0"/>
                <w:sz w:val="24"/>
                <w:rtl w:val="off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4"/>
                <w:rtl w:val="off"/>
              </w:rPr>
              <w:t xml:space="preserve">Resume limited </w:t>
            </w:r>
            <w:r>
              <w:rPr>
                <w:rFonts w:ascii="맑은 고딕" w:eastAsia="맑은 고딕" w:hAnsi="맑은 고딕"/>
                <w:b w:val="0"/>
                <w:bCs w:val="0"/>
                <w:sz w:val="24"/>
              </w:rPr>
              <w:t>operations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4"/>
                <w:rtl w:val="off"/>
              </w:rPr>
              <w:t xml:space="preserve">, 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맑은 고딕" w:eastAsia="맑은 고딕" w:hAnsi="맑은 고딕" w:hint="default"/>
                <w:b w:val="0"/>
                <w:bCs w:val="0"/>
                <w:sz w:val="24"/>
                <w:szCs w:val="24"/>
              </w:rPr>
            </w:pP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4"/>
                <w:rtl w:val="off"/>
              </w:rPr>
              <w:t>w</w:t>
            </w:r>
            <w:r>
              <w:rPr>
                <w:rFonts w:ascii="맑은 고딕" w:eastAsia="맑은 고딕" w:hAnsi="맑은 고딕"/>
                <w:b w:val="0"/>
                <w:bCs w:val="0"/>
                <w:sz w:val="24"/>
              </w:rPr>
              <w:t>here 'dispersal' condition can be achieved, such as 'professional baseball with</w:t>
            </w:r>
            <w:r>
              <w:rPr>
                <w:lang w:eastAsia="ko-KR"/>
                <w:rFonts w:ascii="맑은 고딕" w:eastAsia="맑은 고딕" w:hAnsi="맑은 고딕"/>
                <w:b w:val="0"/>
                <w:bCs w:val="0"/>
                <w:sz w:val="24"/>
                <w:rtl w:val="off"/>
              </w:rPr>
              <w:t xml:space="preserve">out </w:t>
            </w:r>
            <w:r>
              <w:rPr>
                <w:rFonts w:ascii="맑은 고딕" w:eastAsia="맑은 고딕" w:hAnsi="맑은 고딕"/>
                <w:b w:val="0"/>
                <w:bCs w:val="0"/>
                <w:sz w:val="24"/>
              </w:rPr>
              <w:t>spectator'</w:t>
            </w:r>
          </w:p>
        </w:tc>
      </w:tr>
      <w:tr>
        <w:trPr>
          <w:trHeight w:val="658" w:hRule="atLeast"/>
        </w:trPr>
        <w:tc>
          <w:tcPr>
            <w:tcW w:w="765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 w:val="0"/>
                <w:bCs w:val="0"/>
                <w:sz w:val="22"/>
              </w:rPr>
              <w:t>Private sector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7658" w:type="dxa"/>
          </w:tcPr>
          <w:p>
            <w:pPr>
              <w:pStyle w:val="0"/>
              <w:widowControl w:val="off"/>
              <w:jc w:val="center"/>
              <w:spacing w:line="240" w:lineRule="auto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/>
                <w:sz w:val="24"/>
              </w:rPr>
              <w:t xml:space="preserve">Inevitable cases such as essential tests, allow limited enforcement to the extent when complying with </w:t>
            </w:r>
            <w:r>
              <w:rPr>
                <w:lang w:eastAsia="ko-KR"/>
                <w:rFonts w:ascii="맑은 고딕"/>
                <w:sz w:val="24"/>
                <w:rtl w:val="off"/>
              </w:rPr>
              <w:t>disease control</w:t>
            </w:r>
            <w:r>
              <w:rPr>
                <w:rFonts w:ascii="맑은 고딕"/>
                <w:sz w:val="24"/>
              </w:rPr>
              <w:t xml:space="preserve"> guidelines.</w:t>
            </w:r>
          </w:p>
        </w:tc>
      </w:tr>
      <w:tr>
        <w:trPr>
          <w:trHeight w:val="785" w:hRule="atLeast"/>
        </w:trPr>
        <w:tc>
          <w:tcPr>
            <w:tcW w:w="76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7658" w:type="dxa"/>
          </w:tcPr>
          <w:p>
            <w:pPr>
              <w:jc w:val="center"/>
              <w:spacing w:line="240"/>
              <w:rPr>
                <w:lang w:eastAsia="ko-KR"/>
                <w:rFonts w:ascii="맑은 고딕" w:eastAsia="맑은 고딕" w:hAnsi="맑은 고딕" w:hint="eastAsia"/>
                <w:b/>
                <w:sz w:val="22"/>
                <w:rtl w:val="off"/>
              </w:rPr>
            </w:pP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맑은 고딕"/>
                <w:sz w:val="22"/>
              </w:rPr>
              <w:t xml:space="preserve">Maintain existing administrative orders such as entertainment facilities, some </w:t>
            </w:r>
            <w:r>
              <w:rPr>
                <w:lang w:eastAsia="ko-KR"/>
                <w:rFonts w:ascii="맑은 고딕"/>
                <w:sz w:val="22"/>
                <w:rtl w:val="off"/>
              </w:rPr>
              <w:t>gyms</w:t>
            </w:r>
            <w:r>
              <w:rPr>
                <w:rFonts w:ascii="맑은 고딕"/>
                <w:sz w:val="22"/>
              </w:rPr>
              <w:t xml:space="preserve">, private </w:t>
            </w:r>
            <w:r>
              <w:rPr>
                <w:lang w:eastAsia="ko-KR"/>
                <w:rFonts w:ascii="맑은 고딕"/>
                <w:sz w:val="22"/>
                <w:rtl w:val="off"/>
              </w:rPr>
              <w:t>academies and</w:t>
            </w:r>
            <w:r>
              <w:rPr>
                <w:rFonts w:ascii="맑은 고딕"/>
                <w:sz w:val="22"/>
              </w:rPr>
              <w:t xml:space="preserve"> religious facilities,</w:t>
            </w:r>
          </w:p>
          <w:p>
            <w:pPr>
              <w:jc w:val="center"/>
              <w:spacing w:line="240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/>
                <w:sz w:val="22"/>
              </w:rPr>
              <w:t xml:space="preserve">Adjust from </w:t>
            </w:r>
            <w:r>
              <w:rPr>
                <w:lang w:eastAsia="ko-KR"/>
                <w:rFonts w:ascii="맑은 고딕"/>
                <w:sz w:val="22"/>
                <w:rtl w:val="off"/>
              </w:rPr>
              <w:t>o</w:t>
            </w:r>
            <w:r>
              <w:rPr>
                <w:rFonts w:ascii="맑은 고딕"/>
                <w:sz w:val="22"/>
              </w:rPr>
              <w:t xml:space="preserve">perational </w:t>
            </w:r>
            <w:r>
              <w:rPr>
                <w:lang w:eastAsia="ko-KR"/>
                <w:rFonts w:ascii="맑은 고딕"/>
                <w:sz w:val="22"/>
                <w:rtl w:val="off"/>
              </w:rPr>
              <w:t>s</w:t>
            </w:r>
            <w:r>
              <w:rPr>
                <w:rFonts w:ascii="맑은 고딕"/>
                <w:sz w:val="22"/>
              </w:rPr>
              <w:t xml:space="preserve">uspension </w:t>
            </w:r>
            <w:r>
              <w:rPr>
                <w:lang w:eastAsia="ko-KR"/>
                <w:rFonts w:ascii="맑은 고딕"/>
                <w:sz w:val="22"/>
                <w:rtl w:val="off"/>
              </w:rPr>
              <w:t>r</w:t>
            </w:r>
            <w:r>
              <w:rPr>
                <w:rFonts w:ascii="맑은 고딕"/>
                <w:sz w:val="22"/>
              </w:rPr>
              <w:t xml:space="preserve">ecommendations to </w:t>
            </w:r>
            <w:r>
              <w:rPr>
                <w:lang w:eastAsia="ko-KR"/>
                <w:rFonts w:ascii="맑은 고딕"/>
                <w:sz w:val="22"/>
                <w:rtl w:val="off"/>
              </w:rPr>
              <w:t>o</w:t>
            </w:r>
            <w:r>
              <w:rPr>
                <w:rFonts w:ascii="맑은 고딕"/>
                <w:sz w:val="22"/>
              </w:rPr>
              <w:t xml:space="preserve">perational </w:t>
            </w:r>
            <w:r>
              <w:rPr>
                <w:lang w:eastAsia="ko-KR"/>
                <w:rFonts w:ascii="맑은 고딕"/>
                <w:sz w:val="22"/>
                <w:rtl w:val="off"/>
              </w:rPr>
              <w:t>c</w:t>
            </w:r>
            <w:r>
              <w:rPr>
                <w:rFonts w:ascii="맑은 고딕"/>
                <w:sz w:val="22"/>
              </w:rPr>
              <w:t xml:space="preserve">ontrol </w:t>
            </w:r>
            <w:r>
              <w:rPr>
                <w:lang w:eastAsia="ko-KR"/>
                <w:rFonts w:ascii="맑은 고딕"/>
                <w:sz w:val="22"/>
                <w:rtl w:val="off"/>
              </w:rPr>
              <w:t>r</w:t>
            </w:r>
            <w:r>
              <w:rPr>
                <w:rFonts w:ascii="맑은 고딕"/>
                <w:sz w:val="22"/>
              </w:rPr>
              <w:t>ecommendations</w:t>
            </w:r>
          </w:p>
        </w:tc>
      </w:tr>
      <w:tr>
        <w:trPr>
          <w:trHeight w:val="658" w:hRule="atLeast"/>
        </w:trPr>
        <w:tc>
          <w:tcPr>
            <w:tcW w:w="765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7658" w:type="dxa"/>
          </w:tcPr>
          <w:p>
            <w:pPr>
              <w:jc w:val="center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rFonts w:ascii="맑은 고딕" w:eastAsia="맑은 고딕" w:hAnsi="맑은 고딕"/>
                <w:b/>
                <w:sz w:val="22"/>
              </w:rPr>
              <w:t>Ministry of Gender Equality and Family</w:t>
            </w:r>
          </w:p>
        </w:tc>
      </w:tr>
      <w:tr>
        <w:trPr>
          <w:trHeight w:val="524" w:hRule="atLeast"/>
        </w:trPr>
        <w:tc>
          <w:tcPr>
            <w:tcW w:w="7658" w:type="dxa"/>
          </w:tcPr>
          <w:p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7658" w:type="dxa"/>
          </w:tcPr>
          <w:p>
            <w:pPr>
              <w:pStyle w:val="0"/>
              <w:widowControl w:val="off"/>
              <w:spacing w:line="432" w:lineRule="auto"/>
              <w:rPr>
                <w:rFonts w:ascii="맑은 고딕" w:eastAsia="맑은 고딕" w:hAnsi="맑은 고딕" w:hint="default"/>
                <w:sz w:val="24"/>
                <w:szCs w:val="24"/>
              </w:rPr>
            </w:pPr>
            <w:r>
              <w:rPr>
                <w:lang w:eastAsia="ko-KR"/>
                <w:rFonts w:ascii="맑은 고딕" w:eastAsia="맑은 고딕" w:hAnsi="맑은 고딕"/>
                <w:b/>
                <w:sz w:val="22"/>
                <w:rtl w:val="off"/>
              </w:rPr>
              <w:t xml:space="preserve">          </w:t>
            </w:r>
            <w:r>
              <w:rPr>
                <w:rFonts w:ascii="맑은 고딕" w:eastAsia="맑은 고딕" w:hAnsi="맑은 고딕"/>
                <w:b/>
                <w:sz w:val="22"/>
              </w:rPr>
              <w:t>Translat</w:t>
            </w:r>
            <w:r>
              <w:rPr>
                <w:lang w:eastAsia="ko-KR"/>
                <w:rFonts w:ascii="맑은 고딕" w:eastAsia="맑은 고딕" w:hAnsi="맑은 고딕"/>
                <w:b/>
                <w:sz w:val="22"/>
                <w:rtl w:val="off"/>
              </w:rPr>
              <w:t>ed by</w:t>
            </w:r>
            <w:r>
              <w:rPr>
                <w:rFonts w:ascii="맑은 고딕" w:eastAsia="맑은 고딕" w:hAnsi="맑은 고딕"/>
                <w:b/>
                <w:sz w:val="22"/>
              </w:rPr>
              <w:t xml:space="preserve"> Danuri </w:t>
            </w:r>
            <w:r>
              <w:rPr>
                <w:lang w:eastAsia="ko-KR"/>
                <w:rFonts w:ascii="맑은 고딕" w:eastAsia="맑은 고딕" w:hAnsi="맑은 고딕"/>
                <w:b/>
                <w:sz w:val="22"/>
                <w:rtl w:val="off"/>
              </w:rPr>
              <w:t>Helpline</w:t>
            </w:r>
            <w:r>
              <w:rPr>
                <w:rFonts w:ascii="맑은 고딕" w:eastAsia="맑은 고딕" w:hAnsi="맑은 고딕"/>
                <w:b/>
                <w:sz w:val="22"/>
              </w:rPr>
              <w:t xml:space="preserve"> 1577-1366.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charset w:val="00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권미경</cp:lastModifiedBy>
  <cp:revision>1</cp:revision>
  <dcterms:created xsi:type="dcterms:W3CDTF">2020-04-21T02:00:00Z</dcterms:created>
  <dcterms:modified xsi:type="dcterms:W3CDTF">2020-04-22T02:10:08Z</dcterms:modified>
  <cp:version>1000.0100.01</cp:version>
</cp:coreProperties>
</file>